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RONPA0730ZPB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808080"/>
          <w:sz w:val="20"/>
          <w:szCs w:val="20"/>
          <w:u w:val="none"/>
          <w:shd w:fill="auto" w:val="clear"/>
          <w:vertAlign w:val="baseline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Piatra Țibăului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-108.0" w:type="dxa"/>
        <w:tblLayout w:type="fixed"/>
        <w:tblLook w:val="0000"/>
      </w:tblPr>
      <w:tblGrid>
        <w:gridCol w:w="4501"/>
        <w:gridCol w:w="4499"/>
        <w:tblGridChange w:id="0">
          <w:tblGrid>
            <w:gridCol w:w="4501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Ind w:w="-108.0" w:type="dxa"/>
        <w:tblLayout w:type="fixed"/>
        <w:tblLook w:val="0000"/>
      </w:tblPr>
      <w:tblGrid>
        <w:gridCol w:w="4465"/>
        <w:gridCol w:w="4535"/>
        <w:tblGridChange w:id="0">
          <w:tblGrid>
            <w:gridCol w:w="4465"/>
            <w:gridCol w:w="45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9,39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28,11%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Ind w:w="-108.0" w:type="dxa"/>
        <w:tblLayout w:type="fixed"/>
        <w:tblLook w:val="00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Ind w:w="-108.0" w:type="dxa"/>
        <w:tblLayout w:type="fixed"/>
        <w:tblLook w:val="0000"/>
      </w:tblPr>
      <w:tblGrid>
        <w:gridCol w:w="2810"/>
        <w:gridCol w:w="236"/>
        <w:gridCol w:w="2881"/>
        <w:gridCol w:w="236"/>
        <w:gridCol w:w="2837"/>
        <w:tblGridChange w:id="0">
          <w:tblGrid>
            <w:gridCol w:w="2810"/>
            <w:gridCol w:w="236"/>
            <w:gridCol w:w="2881"/>
            <w:gridCol w:w="236"/>
            <w:gridCol w:w="28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Descrierea Zonelor Prioritare pentru Biodiversitate distincte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9,39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– Secțiunea a III-a – zone protejate, cu modificările și completările ulterioare - Monument al naturii RONPA0730 Piatra Țibăului.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Ind w:w="-108.0" w:type="dxa"/>
        <w:tblLayout w:type="fixed"/>
        <w:tblLook w:val="0000"/>
      </w:tblPr>
      <w:tblGrid>
        <w:gridCol w:w="2093"/>
        <w:gridCol w:w="6907"/>
        <w:tblGridChange w:id="0">
          <w:tblGrid>
            <w:gridCol w:w="2093"/>
            <w:gridCol w:w="69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9140 Păduri medio-europene subalpine de fag cu Acer şi Rumex arifolius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1193 Bombina variegata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2001 Triturus montandoni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Zonă importantă pentru biodiversitate, suprapusă cu monumentul naturii Piatra Țibăului, ce cuprinde suprafețe forestiere importante, respectiv păduri medio-europene subalpine de fag cu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Acer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şi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Rumex arifolius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 oferă habitat unor specii de amfibieni și reptile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G01.04 Drumeții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qemq5k3scwh3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Chirita C., Vlad I., Paunescu C., Patrascoiu  N., Rosu  C., Iancu I. 1977  “Statiuni forestiere”, Vol. II, , Ed. Academiei R.S.R., București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2008- “Manual de interpretare a habitatelor Natura 2000 din Romania”, Ed. RISOPRINT, editor M.M.D.D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Pauca- Comanescu M., Mihailescu S., 2005 - Habitatele din Romania” – Biris I., Editura Tehnica Silvica, București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Consultări publice cu privire la desemnarea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5 noiembrie 2024 - DS Suceava, 19 iunie 2025 – online.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 22 ianuarie 2026 cu participarea factorilor interesați relevanți din județul Suceava.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Link: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467886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b4rVCKB071fFE6/h+Dq1XtAyCA==">CgMxLjAyDmgucWVtcTVrM3Njd2gzOAByITFfc1N1ak81OVVibzJpN1JtUEZDNHJ1d2pxWEh2T211Sw==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